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4219" w:rsidP="00354219">
      <w:pPr>
        <w:pStyle w:val="Title"/>
        <w:spacing w:before="0"/>
        <w:rPr>
          <w:b w:val="0"/>
          <w:color w:val="000000" w:themeColor="text1"/>
          <w:sz w:val="22"/>
          <w:szCs w:val="22"/>
        </w:rPr>
      </w:pPr>
    </w:p>
    <w:p w:rsidR="001F550B" w:rsidRPr="00262B9E" w:rsidP="001F550B">
      <w:pPr>
        <w:pStyle w:val="Title"/>
        <w:rPr>
          <w:b w:val="0"/>
          <w:color w:val="000000" w:themeColor="text1"/>
          <w:sz w:val="22"/>
          <w:szCs w:val="22"/>
        </w:rPr>
      </w:pPr>
    </w:p>
    <w:p w:rsidR="001F550B" w:rsidRPr="00262B9E" w:rsidP="001F550B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1F550B" w:rsidRPr="00262B9E" w:rsidP="001F550B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5</w:t>
      </w:r>
      <w:r w:rsidRPr="00262B9E">
        <w:rPr>
          <w:b/>
          <w:color w:val="FF0000"/>
          <w:sz w:val="24"/>
          <w:szCs w:val="24"/>
        </w:rPr>
        <w:t>.</w:t>
      </w:r>
      <w:r w:rsidR="006D69B5">
        <w:rPr>
          <w:b/>
          <w:color w:val="FF0000"/>
          <w:sz w:val="24"/>
          <w:szCs w:val="24"/>
        </w:rPr>
        <w:t>HAFTA</w:t>
      </w:r>
    </w:p>
    <w:p w:rsidR="001F550B" w:rsidRPr="00262B9E" w:rsidP="001F550B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06-10</w:t>
      </w:r>
      <w:r>
        <w:rPr>
          <w:sz w:val="24"/>
          <w:szCs w:val="24"/>
        </w:rPr>
        <w:t xml:space="preserve"> EKİM</w:t>
      </w:r>
      <w:r w:rsidRPr="00262B9E">
        <w:rPr>
          <w:sz w:val="24"/>
          <w:szCs w:val="24"/>
        </w:rPr>
        <w:t xml:space="preserve"> 2025</w:t>
      </w:r>
    </w:p>
    <w:p w:rsidR="00A13948" w:rsidRPr="00262B9E" w:rsidP="00A13948">
      <w:pPr>
        <w:jc w:val="center"/>
        <w:rPr>
          <w:bCs/>
          <w:sz w:val="22"/>
          <w:szCs w:val="22"/>
        </w:rPr>
      </w:pPr>
    </w:p>
    <w:p w:rsidR="00A13948" w:rsidRPr="00262B9E" w:rsidP="00354219">
      <w:pPr>
        <w:jc w:val="center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DD511C" w:rsidP="00A13948">
            <w:pPr>
              <w:rPr>
                <w:b/>
                <w:color w:val="FF0000"/>
                <w:sz w:val="22"/>
                <w:szCs w:val="22"/>
              </w:rPr>
            </w:pPr>
            <w:r w:rsidRPr="00DD511C">
              <w:rPr>
                <w:b/>
                <w:color w:val="FF0000"/>
                <w:sz w:val="22"/>
                <w:szCs w:val="22"/>
              </w:rPr>
              <w:t>Saygılıyız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SB.4.1.5. Diğer bireylerin farklı özelliklerini saygı ile karşılar.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Tüm Renkler Bir Arada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 verilen bilgilerden yola çıkarak her bireyin farklı olduğu hatırlatılır.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Her insan duygu ve düşüncelerini farklı yollar ile ifade edebilir. Konuşarak, yazarak, şiirle, beden dili ile, resim çizerek.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Farklılıklara karşı saygı göstermemiz gerektiği üzerinde durulur.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Hoşgörü: Başkalarının düşünce ve duygularını anlayış ile karşılamak, saygı göstermek.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Geçmişten günümüze Türk büyüklerinden bahsedilerek hoşgörülü oldukları söylenir.( Atatürk, Yunus Emre, Mevlana, Hacı Bektaşi Veli, Nasrettin Hoca…)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Ders kitabında bulunan bilgilendirici metinler örnek olaylar okutulur. Etkinlikleri tamamlamaları istenir.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Ünite değerlendirmesi yapılır.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“İnsan  Hakları  Evrensel  Bildirgesi” ni araştırmaları istenir.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halinde oynarken nelere dikkat edersiniz?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Her insan farklı özelliklere, duygulara, düşüncelere sahiptir. Farklılıklara karşı saygılı olmalıyız.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7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Başkalarının düşüncelerine saygılı olmaya ne denir?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Ünite Değerlendirmesi ile öğrencilerin öğrendikleri pekiştirilir.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54219" w:rsidRPr="00262B9E" w:rsidP="00354219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DD511C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